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AC" w:rsidRDefault="00EC18AC" w:rsidP="00EC18AC">
      <w:pPr>
        <w:pStyle w:val="Heading1"/>
        <w:rPr>
          <w:lang w:val="en-US"/>
        </w:rPr>
      </w:pPr>
      <w:r w:rsidRPr="00EC18AC">
        <w:rPr>
          <w:lang w:val="en-US"/>
        </w:rPr>
        <w:t>Project plan example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Project title</w:t>
      </w:r>
    </w:p>
    <w:p w:rsid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Introduction to DITA (Darwin Information Typing Architecture)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Date of issue and revision status</w:t>
      </w:r>
    </w:p>
    <w:p w:rsid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January 1, 202</w:t>
      </w:r>
      <w:r>
        <w:rPr>
          <w:lang w:val="en-US"/>
        </w:rPr>
        <w:t>1</w:t>
      </w:r>
      <w:r w:rsidRPr="00EC18AC">
        <w:rPr>
          <w:lang w:val="en-US"/>
        </w:rPr>
        <w:t xml:space="preserve"> First draft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Information goals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goal of this project is to support new users in learning how to author in the OASIS DITA Standard.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manual will be designed as a series of tutorials, enabling the new users to practice implementing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each</w:t>
      </w:r>
      <w:proofErr w:type="gramEnd"/>
      <w:r w:rsidRPr="00EC18AC">
        <w:rPr>
          <w:lang w:val="en-US"/>
        </w:rPr>
        <w:t xml:space="preserve"> feature of the DITA Standard. The new users will learn the basic structures of the standard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and</w:t>
      </w:r>
      <w:proofErr w:type="gramEnd"/>
      <w:r w:rsidRPr="00EC18AC">
        <w:rPr>
          <w:lang w:val="en-US"/>
        </w:rPr>
        <w:t xml:space="preserve"> know when and how to implement each element and attribute of the standard. This project will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provide</w:t>
      </w:r>
      <w:proofErr w:type="gramEnd"/>
      <w:r w:rsidRPr="00EC18AC">
        <w:rPr>
          <w:lang w:val="en-US"/>
        </w:rPr>
        <w:t xml:space="preserve"> essential information that will enable organizations to train new users and to support their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implementation</w:t>
      </w:r>
      <w:proofErr w:type="gramEnd"/>
      <w:r w:rsidRPr="00EC18AC">
        <w:rPr>
          <w:lang w:val="en-US"/>
        </w:rPr>
        <w:t xml:space="preserve"> of the DITA Standard.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Project scope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scope of the Introduction to DITA project will focus on the information required for an author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developing</w:t>
      </w:r>
      <w:proofErr w:type="gramEnd"/>
      <w:r w:rsidRPr="00EC18AC">
        <w:rPr>
          <w:lang w:val="en-US"/>
        </w:rPr>
        <w:t xml:space="preserve"> structured content in DITA XML. Additional information will be provided to enable an author</w:t>
      </w:r>
      <w:r>
        <w:rPr>
          <w:lang w:val="en-US"/>
        </w:rPr>
        <w:t xml:space="preserve"> </w:t>
      </w:r>
      <w:r w:rsidRPr="00EC18AC">
        <w:rPr>
          <w:lang w:val="en-US"/>
        </w:rPr>
        <w:t>or an information architect to prepare an information model that limits the elements and attributes to</w:t>
      </w:r>
      <w:r>
        <w:rPr>
          <w:lang w:val="en-US"/>
        </w:rPr>
        <w:t xml:space="preserve"> </w:t>
      </w:r>
      <w:r w:rsidRPr="00EC18AC">
        <w:rPr>
          <w:lang w:val="en-US"/>
        </w:rPr>
        <w:t>be used in the organization. Basic information on the DITA Open Toolkit and the process of creating</w:t>
      </w:r>
      <w:r>
        <w:rPr>
          <w:lang w:val="en-US"/>
        </w:rPr>
        <w:t xml:space="preserve"> </w:t>
      </w:r>
      <w:r w:rsidRPr="00EC18AC">
        <w:rPr>
          <w:lang w:val="en-US"/>
        </w:rPr>
        <w:t>appropriate output from the source content will also be provided.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Audience profile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It is anticipated that the primary user of the Introduction to DITA will have had no previous experience</w:t>
      </w:r>
      <w:r>
        <w:rPr>
          <w:lang w:val="en-US"/>
        </w:rPr>
        <w:t xml:space="preserve"> </w:t>
      </w:r>
      <w:r w:rsidRPr="00EC18AC">
        <w:rPr>
          <w:lang w:val="en-US"/>
        </w:rPr>
        <w:t xml:space="preserve">using XML as an </w:t>
      </w:r>
      <w:proofErr w:type="gramStart"/>
      <w:r w:rsidRPr="00EC18AC">
        <w:rPr>
          <w:lang w:val="en-US"/>
        </w:rPr>
        <w:t>authoring system nor</w:t>
      </w:r>
      <w:proofErr w:type="gramEnd"/>
      <w:r w:rsidRPr="00EC18AC">
        <w:rPr>
          <w:lang w:val="en-US"/>
        </w:rPr>
        <w:t xml:space="preserve"> using the DITA Standard. The user has previous experience</w:t>
      </w:r>
      <w:r>
        <w:rPr>
          <w:lang w:val="en-US"/>
        </w:rPr>
        <w:t xml:space="preserve"> </w:t>
      </w:r>
      <w:r w:rsidRPr="00EC18AC">
        <w:rPr>
          <w:lang w:val="en-US"/>
        </w:rPr>
        <w:t>as a technical author, but does not necessarily have experience creating structured information. It is</w:t>
      </w:r>
      <w:r>
        <w:rPr>
          <w:lang w:val="en-US"/>
        </w:rPr>
        <w:t xml:space="preserve"> </w:t>
      </w:r>
      <w:r w:rsidRPr="00EC18AC">
        <w:rPr>
          <w:lang w:val="en-US"/>
        </w:rPr>
        <w:t>expected that the users will be unfamiliar with the concept of the topic and the information type.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Content to be developed</w:t>
      </w:r>
    </w:p>
    <w:p w:rsid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All topics for this first edition will be new topics, as shown in Table 1. Re-use is not being considered.</w:t>
      </w:r>
      <w:r>
        <w:rPr>
          <w:lang w:val="en-US"/>
        </w:rPr>
        <w:br/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EC18AC" w:rsidTr="00EC18AC">
        <w:tc>
          <w:tcPr>
            <w:tcW w:w="3070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Topic</w:t>
            </w:r>
          </w:p>
        </w:tc>
        <w:tc>
          <w:tcPr>
            <w:tcW w:w="3071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Information type</w:t>
            </w:r>
          </w:p>
        </w:tc>
        <w:tc>
          <w:tcPr>
            <w:tcW w:w="3071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Reuse</w:t>
            </w:r>
          </w:p>
        </w:tc>
      </w:tr>
      <w:tr w:rsidR="00EC18AC" w:rsidTr="00EC18AC">
        <w:tc>
          <w:tcPr>
            <w:tcW w:w="3070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Understanding information types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concept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</w:p>
        </w:tc>
      </w:tr>
      <w:tr w:rsidR="00EC18AC" w:rsidTr="00EC18AC">
        <w:tc>
          <w:tcPr>
            <w:tcW w:w="3070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Concept information type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task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</w:p>
        </w:tc>
      </w:tr>
      <w:tr w:rsidR="00EC18AC" w:rsidTr="00EC18AC">
        <w:tc>
          <w:tcPr>
            <w:tcW w:w="3070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Structure elements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reference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</w:p>
        </w:tc>
      </w:tr>
      <w:tr w:rsidR="00EC18AC" w:rsidTr="00EC18AC">
        <w:tc>
          <w:tcPr>
            <w:tcW w:w="3070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Concept elements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reference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</w:p>
        </w:tc>
      </w:tr>
      <w:tr w:rsidR="00EC18AC" w:rsidTr="00EC18AC">
        <w:tc>
          <w:tcPr>
            <w:tcW w:w="3070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Task information type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task</w:t>
            </w:r>
          </w:p>
        </w:tc>
        <w:tc>
          <w:tcPr>
            <w:tcW w:w="3071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</w:p>
        </w:tc>
      </w:tr>
    </w:tbl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Accessibility requirements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Alternative descriptions of all illustrations will be included in the e-book output to enhance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accessibility</w:t>
      </w:r>
      <w:proofErr w:type="gramEnd"/>
      <w:r w:rsidRPr="00EC18AC">
        <w:rPr>
          <w:lang w:val="en-US"/>
        </w:rPr>
        <w:t>. The e-book output will be developed so that it can be accessed on multiple device formats.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 xml:space="preserve">All information will conform </w:t>
      </w:r>
      <w:proofErr w:type="gramStart"/>
      <w:r w:rsidRPr="00EC18AC">
        <w:rPr>
          <w:lang w:val="en-US"/>
        </w:rPr>
        <w:t>with</w:t>
      </w:r>
      <w:proofErr w:type="gramEnd"/>
      <w:r w:rsidRPr="00EC18AC">
        <w:rPr>
          <w:lang w:val="en-US"/>
        </w:rPr>
        <w:t xml:space="preserve"> the following: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>
        <w:rPr>
          <w:lang w:val="en-US"/>
        </w:rPr>
        <w:t>I</w:t>
      </w:r>
      <w:r w:rsidRPr="00EC18AC">
        <w:rPr>
          <w:lang w:val="en-US"/>
        </w:rPr>
        <w:t>SO/IEC 40500:2012, Information technology — W3C Web Content Accessibility Guidelines (WCAG) 2.0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ISO 9241-171:2008, Ergonomics of human-system interaction — Part 171: Guidance on software accessibility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lastRenderedPageBreak/>
        <w:t>ISO 9241-20:2008, Ergonomics of human-system interaction — Part 20: Accessibility guidelines for information/communication technology (ICT) equipment and service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Translation and localization requirements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Introduction to DITA will be translated into Japanese. The original XML DITA files will be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communicated</w:t>
      </w:r>
      <w:proofErr w:type="gramEnd"/>
      <w:r w:rsidRPr="00EC18AC">
        <w:rPr>
          <w:lang w:val="en-US"/>
        </w:rPr>
        <w:t xml:space="preserve"> to the localization service provider in Japan as soon as the final review and approval is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complete</w:t>
      </w:r>
      <w:proofErr w:type="gramEnd"/>
      <w:r w:rsidRPr="00EC18AC">
        <w:rPr>
          <w:lang w:val="en-US"/>
        </w:rPr>
        <w:t>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Project deliverables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primary deliverable for this project is the finished printed manuscript of the Introduction to DITA.</w:t>
      </w:r>
      <w:r>
        <w:rPr>
          <w:lang w:val="en-US"/>
        </w:rPr>
        <w:t xml:space="preserve"> </w:t>
      </w:r>
      <w:r w:rsidRPr="00EC18AC">
        <w:rPr>
          <w:lang w:val="en-US"/>
        </w:rPr>
        <w:t>The second deliverable will be the e-book version. Included on the corporate website will be the sample</w:t>
      </w:r>
      <w:r>
        <w:rPr>
          <w:lang w:val="en-US"/>
        </w:rPr>
        <w:t xml:space="preserve"> </w:t>
      </w:r>
      <w:r w:rsidRPr="00EC18AC">
        <w:rPr>
          <w:lang w:val="en-US"/>
        </w:rPr>
        <w:t>files that will be used in the exercises.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Tools requirements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This project will be written in DITA XML using the standard editing tools in the organization. All files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will</w:t>
      </w:r>
      <w:proofErr w:type="gramEnd"/>
      <w:r w:rsidRPr="00EC18AC">
        <w:rPr>
          <w:lang w:val="en-US"/>
        </w:rPr>
        <w:t xml:space="preserve"> be stored in the component content management system. The final PDF production will use the AH</w:t>
      </w:r>
      <w:r>
        <w:rPr>
          <w:lang w:val="en-US"/>
        </w:rPr>
        <w:t xml:space="preserve"> </w:t>
      </w:r>
      <w:r w:rsidRPr="00EC18AC">
        <w:rPr>
          <w:lang w:val="en-US"/>
        </w:rPr>
        <w:t>system to enhance the DITA Open Toolkit output. The e-book will be produced using the EBook system.</w:t>
      </w:r>
      <w:r>
        <w:rPr>
          <w:lang w:val="en-US"/>
        </w:rPr>
        <w:t xml:space="preserve"> </w:t>
      </w:r>
      <w:r w:rsidRPr="00EC18AC">
        <w:rPr>
          <w:lang w:val="en-US"/>
        </w:rPr>
        <w:t>All reviews will take place using the review workflow of the component content management system.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Information reuse strategy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project tutorial lessons will reuse instructional content to ensure uniformity of instructions.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Risk assessment</w:t>
      </w:r>
    </w:p>
    <w:p w:rsid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Risks have been evaluated (see Table 2).</w:t>
      </w:r>
      <w:r>
        <w:rPr>
          <w:lang w:val="en-US"/>
        </w:rPr>
        <w:br/>
      </w:r>
    </w:p>
    <w:tbl>
      <w:tblPr>
        <w:tblStyle w:val="TableGrid"/>
        <w:tblW w:w="0" w:type="auto"/>
        <w:tblLook w:val="04A0"/>
      </w:tblPr>
      <w:tblGrid>
        <w:gridCol w:w="2660"/>
        <w:gridCol w:w="1024"/>
        <w:gridCol w:w="1244"/>
        <w:gridCol w:w="2835"/>
        <w:gridCol w:w="1449"/>
      </w:tblGrid>
      <w:tr w:rsidR="00EC18AC" w:rsidTr="00EC18AC">
        <w:tc>
          <w:tcPr>
            <w:tcW w:w="2660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Risk</w:t>
            </w:r>
          </w:p>
        </w:tc>
        <w:tc>
          <w:tcPr>
            <w:tcW w:w="1024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Severity</w:t>
            </w:r>
          </w:p>
        </w:tc>
        <w:tc>
          <w:tcPr>
            <w:tcW w:w="1244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Probability</w:t>
            </w:r>
          </w:p>
        </w:tc>
        <w:tc>
          <w:tcPr>
            <w:tcW w:w="2835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Risk Mitigation</w:t>
            </w:r>
          </w:p>
        </w:tc>
        <w:tc>
          <w:tcPr>
            <w:tcW w:w="1449" w:type="dxa"/>
          </w:tcPr>
          <w:p w:rsidR="00EC18AC" w:rsidRPr="00EC18AC" w:rsidRDefault="00EC18AC" w:rsidP="00EC18AC">
            <w:pPr>
              <w:pStyle w:val="NoSpacing"/>
              <w:rPr>
                <w:b/>
                <w:lang w:val="en-US"/>
              </w:rPr>
            </w:pPr>
            <w:r w:rsidRPr="00EC18AC">
              <w:rPr>
                <w:b/>
                <w:lang w:val="en-US"/>
              </w:rPr>
              <w:t>Severity with mitigation</w:t>
            </w:r>
          </w:p>
        </w:tc>
      </w:tr>
      <w:tr w:rsidR="00EC18AC" w:rsidTr="00EC18AC">
        <w:tc>
          <w:tcPr>
            <w:tcW w:w="2660" w:type="dxa"/>
          </w:tcPr>
          <w:p w:rsidR="00EC18AC" w:rsidRDefault="00EC18AC" w:rsidP="00EC18A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If one or more writers leave during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the project, work will be delayed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until a replacement writer is recruited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and trained</w:t>
            </w:r>
          </w:p>
        </w:tc>
        <w:tc>
          <w:tcPr>
            <w:tcW w:w="1024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Medium</w:t>
            </w:r>
          </w:p>
        </w:tc>
        <w:tc>
          <w:tcPr>
            <w:tcW w:w="1244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High</w:t>
            </w:r>
          </w:p>
        </w:tc>
        <w:tc>
          <w:tcPr>
            <w:tcW w:w="2835" w:type="dxa"/>
          </w:tcPr>
          <w:p w:rsidR="00EC18AC" w:rsidRP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Normal employee incentive</w:t>
            </w:r>
          </w:p>
          <w:p w:rsidR="00EC18AC" w:rsidRP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and compensation schemes</w:t>
            </w:r>
          </w:p>
          <w:p w:rsidR="00EC18AC" w:rsidRP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proofErr w:type="gramStart"/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are</w:t>
            </w:r>
            <w:proofErr w:type="gramEnd"/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 xml:space="preserve"> in place. A relationship is</w:t>
            </w:r>
          </w:p>
          <w:p w:rsid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in place with staff recruitment</w:t>
            </w:r>
          </w:p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professionals</w:t>
            </w:r>
          </w:p>
        </w:tc>
        <w:tc>
          <w:tcPr>
            <w:tcW w:w="1449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Medium</w:t>
            </w:r>
          </w:p>
        </w:tc>
      </w:tr>
      <w:tr w:rsidR="00EC18AC" w:rsidTr="00EC18AC">
        <w:tc>
          <w:tcPr>
            <w:tcW w:w="2660" w:type="dxa"/>
          </w:tcPr>
          <w:p w:rsidR="00EC18AC" w:rsidRP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If the DITA standard is not frozen on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schedule, information will need to</w:t>
            </w:r>
          </w:p>
          <w:p w:rsidR="00EC18AC" w:rsidRDefault="00EC18AC" w:rsidP="00EC18A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be rewritten or work will be delayed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pending final requirements</w:t>
            </w:r>
          </w:p>
        </w:tc>
        <w:tc>
          <w:tcPr>
            <w:tcW w:w="1024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Medium</w:t>
            </w:r>
          </w:p>
        </w:tc>
        <w:tc>
          <w:tcPr>
            <w:tcW w:w="1244" w:type="dxa"/>
          </w:tcPr>
          <w:p w:rsid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Medium/</w:t>
            </w:r>
          </w:p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Low</w:t>
            </w:r>
          </w:p>
        </w:tc>
        <w:tc>
          <w:tcPr>
            <w:tcW w:w="2835" w:type="dxa"/>
          </w:tcPr>
          <w:p w:rsidR="00EC18AC" w:rsidRPr="00EC18AC" w:rsidRDefault="00EC18AC" w:rsidP="00EC18A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Information-development team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reviews project status weekly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with the software development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manager. Writers are reassigned</w:t>
            </w:r>
          </w:p>
          <w:p w:rsidR="00EC18AC" w:rsidRDefault="00EC18AC" w:rsidP="00EC18A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to other work pending approval</w:t>
            </w:r>
            <w:r>
              <w:rPr>
                <w:rFonts w:ascii="Cambria" w:hAnsi="Cambria" w:cs="Cambria"/>
                <w:sz w:val="20"/>
                <w:szCs w:val="20"/>
                <w:lang w:val="en-US"/>
              </w:rPr>
              <w:t xml:space="preserve"> </w:t>
            </w:r>
            <w:r w:rsidRPr="00EC18AC">
              <w:rPr>
                <w:rFonts w:ascii="Cambria" w:hAnsi="Cambria" w:cs="Cambria"/>
                <w:sz w:val="20"/>
                <w:szCs w:val="20"/>
                <w:lang w:val="en-US"/>
              </w:rPr>
              <w:t>of software requirements</w:t>
            </w:r>
          </w:p>
        </w:tc>
        <w:tc>
          <w:tcPr>
            <w:tcW w:w="1449" w:type="dxa"/>
          </w:tcPr>
          <w:p w:rsidR="00EC18AC" w:rsidRDefault="00EC18AC" w:rsidP="00EC18AC">
            <w:pPr>
              <w:pStyle w:val="NoSpacing"/>
              <w:rPr>
                <w:lang w:val="en-US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Low</w:t>
            </w:r>
          </w:p>
        </w:tc>
      </w:tr>
    </w:tbl>
    <w:p w:rsidR="00EC18AC" w:rsidRDefault="00EC18AC" w:rsidP="00EC18AC">
      <w:pPr>
        <w:pStyle w:val="NoSpacing"/>
        <w:rPr>
          <w:lang w:val="en-US"/>
        </w:rPr>
      </w:pP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Schedule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This project is scheduled to be completed by December 31, 2020. Details of the schedule are as follows: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Complete first draft – March 1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Complete second draft – June 1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Usability testing – July 1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Initial production, indexing – September 1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Final approval – October 1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Printing and e-book construction – December 1</w:t>
      </w:r>
    </w:p>
    <w:p w:rsidR="00EC18AC" w:rsidRPr="00EC18AC" w:rsidRDefault="00EC18AC" w:rsidP="00EC18AC">
      <w:pPr>
        <w:pStyle w:val="NoSpacing"/>
        <w:numPr>
          <w:ilvl w:val="0"/>
          <w:numId w:val="2"/>
        </w:numPr>
        <w:rPr>
          <w:lang w:val="en-US"/>
        </w:rPr>
      </w:pPr>
      <w:r w:rsidRPr="00EC18AC">
        <w:rPr>
          <w:lang w:val="en-US"/>
        </w:rPr>
        <w:t>Shipping – December 31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Estimated project size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We anticipate this guide to be between 350 and 450 pages. We expect approximately 250 topics,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including</w:t>
      </w:r>
      <w:proofErr w:type="gramEnd"/>
      <w:r w:rsidRPr="00EC18AC">
        <w:rPr>
          <w:lang w:val="en-US"/>
        </w:rPr>
        <w:t xml:space="preserve"> concept, task, and reference topics.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Estimated project budget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Based on standard hourly rates for writers, information architect, and project manager, we anticipate a</w:t>
      </w:r>
      <w:r>
        <w:rPr>
          <w:lang w:val="en-US"/>
        </w:rPr>
        <w:t xml:space="preserve"> </w:t>
      </w:r>
      <w:r w:rsidRPr="00EC18AC">
        <w:rPr>
          <w:lang w:val="en-US"/>
        </w:rPr>
        <w:t xml:space="preserve">budget for this project of between 70 000 </w:t>
      </w:r>
      <w:r>
        <w:rPr>
          <w:lang w:val="en-US"/>
        </w:rPr>
        <w:t xml:space="preserve">Euro and </w:t>
      </w:r>
      <w:r w:rsidRPr="00EC18AC">
        <w:rPr>
          <w:lang w:val="en-US"/>
        </w:rPr>
        <w:t>100 000</w:t>
      </w:r>
      <w:r>
        <w:rPr>
          <w:lang w:val="en-US"/>
        </w:rPr>
        <w:t xml:space="preserve"> Euro</w:t>
      </w:r>
      <w:r w:rsidRPr="00EC18AC">
        <w:rPr>
          <w:lang w:val="en-US"/>
        </w:rPr>
        <w:t>.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Project team members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Team members include the following:</w:t>
      </w:r>
    </w:p>
    <w:p w:rsidR="00EC18AC" w:rsidRPr="00EC18AC" w:rsidRDefault="00EC18AC" w:rsidP="00EC18AC">
      <w:pPr>
        <w:pStyle w:val="NoSpacing"/>
        <w:numPr>
          <w:ilvl w:val="0"/>
          <w:numId w:val="4"/>
        </w:numPr>
        <w:rPr>
          <w:lang w:val="en-US"/>
        </w:rPr>
      </w:pPr>
      <w:r w:rsidRPr="00EC18AC">
        <w:rPr>
          <w:lang w:val="en-US"/>
        </w:rPr>
        <w:t xml:space="preserve">Team lead – </w:t>
      </w:r>
      <w:r>
        <w:rPr>
          <w:lang w:val="en-US"/>
        </w:rPr>
        <w:t>Kees</w:t>
      </w:r>
    </w:p>
    <w:p w:rsidR="00EC18AC" w:rsidRPr="00EC18AC" w:rsidRDefault="00EC18AC" w:rsidP="00EC18AC">
      <w:pPr>
        <w:pStyle w:val="NoSpacing"/>
        <w:numPr>
          <w:ilvl w:val="0"/>
          <w:numId w:val="4"/>
        </w:numPr>
        <w:rPr>
          <w:lang w:val="en-US"/>
        </w:rPr>
      </w:pPr>
      <w:r w:rsidRPr="00EC18AC">
        <w:rPr>
          <w:lang w:val="en-US"/>
        </w:rPr>
        <w:t xml:space="preserve">Information architect – </w:t>
      </w:r>
      <w:proofErr w:type="spellStart"/>
      <w:r>
        <w:rPr>
          <w:lang w:val="en-US"/>
        </w:rPr>
        <w:t>Loesje</w:t>
      </w:r>
      <w:proofErr w:type="spellEnd"/>
    </w:p>
    <w:p w:rsidR="00EC18AC" w:rsidRPr="00EC18AC" w:rsidRDefault="00EC18AC" w:rsidP="00EC18AC">
      <w:pPr>
        <w:pStyle w:val="NoSpacing"/>
        <w:numPr>
          <w:ilvl w:val="0"/>
          <w:numId w:val="4"/>
        </w:numPr>
        <w:rPr>
          <w:lang w:val="en-US"/>
        </w:rPr>
      </w:pPr>
      <w:r w:rsidRPr="00EC18AC">
        <w:rPr>
          <w:lang w:val="en-US"/>
        </w:rPr>
        <w:t>Writer – Sam</w:t>
      </w:r>
    </w:p>
    <w:p w:rsidR="00EC18AC" w:rsidRPr="00EC18AC" w:rsidRDefault="00EC18AC" w:rsidP="00EC18AC">
      <w:pPr>
        <w:pStyle w:val="NoSpacing"/>
        <w:numPr>
          <w:ilvl w:val="0"/>
          <w:numId w:val="4"/>
        </w:numPr>
        <w:rPr>
          <w:lang w:val="en-US"/>
        </w:rPr>
      </w:pPr>
      <w:r w:rsidRPr="00EC18AC">
        <w:rPr>
          <w:lang w:val="en-US"/>
        </w:rPr>
        <w:t>Writer – George</w:t>
      </w:r>
    </w:p>
    <w:p w:rsidR="00EC18AC" w:rsidRPr="00EC18AC" w:rsidRDefault="00EC18AC" w:rsidP="00EC18AC">
      <w:pPr>
        <w:pStyle w:val="NoSpacing"/>
        <w:numPr>
          <w:ilvl w:val="0"/>
          <w:numId w:val="4"/>
        </w:numPr>
        <w:rPr>
          <w:lang w:val="en-US"/>
        </w:rPr>
      </w:pPr>
      <w:r w:rsidRPr="00EC18AC">
        <w:rPr>
          <w:lang w:val="en-US"/>
        </w:rPr>
        <w:t xml:space="preserve">Tester – </w:t>
      </w:r>
      <w:r>
        <w:rPr>
          <w:lang w:val="en-US"/>
        </w:rPr>
        <w:t>Johanna</w:t>
      </w:r>
    </w:p>
    <w:p w:rsidR="00EC18AC" w:rsidRPr="00EC18AC" w:rsidRDefault="00EC18AC" w:rsidP="00EC18AC">
      <w:pPr>
        <w:pStyle w:val="Heading2"/>
        <w:rPr>
          <w:lang w:val="en-US"/>
        </w:rPr>
      </w:pPr>
      <w:r w:rsidRPr="00EC18AC">
        <w:rPr>
          <w:lang w:val="en-US"/>
        </w:rPr>
        <w:t>Project reviewers and approvers</w:t>
      </w:r>
    </w:p>
    <w:p w:rsidR="00EC18AC" w:rsidRPr="00EC18AC" w:rsidRDefault="00EC18AC" w:rsidP="00EC18AC">
      <w:pPr>
        <w:pStyle w:val="NoSpacing"/>
        <w:rPr>
          <w:lang w:val="en-US"/>
        </w:rPr>
      </w:pPr>
      <w:r w:rsidRPr="00EC18AC">
        <w:rPr>
          <w:lang w:val="en-US"/>
        </w:rPr>
        <w:t>The project topics under development will be reviewed by all members of the project team. Dr. H will</w:t>
      </w:r>
    </w:p>
    <w:p w:rsidR="00EC18AC" w:rsidRPr="00EC18AC" w:rsidRDefault="00EC18AC" w:rsidP="00EC18AC">
      <w:pPr>
        <w:pStyle w:val="NoSpacing"/>
        <w:rPr>
          <w:lang w:val="en-US"/>
        </w:rPr>
      </w:pPr>
      <w:proofErr w:type="gramStart"/>
      <w:r w:rsidRPr="00EC18AC">
        <w:rPr>
          <w:lang w:val="en-US"/>
        </w:rPr>
        <w:t>conduct</w:t>
      </w:r>
      <w:proofErr w:type="gramEnd"/>
      <w:r w:rsidRPr="00EC18AC">
        <w:rPr>
          <w:lang w:val="en-US"/>
        </w:rPr>
        <w:t xml:space="preserve"> the review.</w:t>
      </w:r>
    </w:p>
    <w:p w:rsidR="00EC18AC" w:rsidRPr="00EC18AC" w:rsidRDefault="00EC18AC">
      <w:pPr>
        <w:pStyle w:val="NoSpacing"/>
        <w:rPr>
          <w:lang w:val="en-US"/>
        </w:rPr>
      </w:pPr>
    </w:p>
    <w:sectPr w:rsidR="00EC18AC" w:rsidRPr="00EC18AC" w:rsidSect="009E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16C"/>
    <w:multiLevelType w:val="hybridMultilevel"/>
    <w:tmpl w:val="0574B1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13FD3"/>
    <w:multiLevelType w:val="hybridMultilevel"/>
    <w:tmpl w:val="2F0893C8"/>
    <w:lvl w:ilvl="0" w:tplc="E9D63A7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53D9F"/>
    <w:multiLevelType w:val="hybridMultilevel"/>
    <w:tmpl w:val="6A66662A"/>
    <w:lvl w:ilvl="0" w:tplc="E9D63A7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B42ED"/>
    <w:multiLevelType w:val="hybridMultilevel"/>
    <w:tmpl w:val="A28A2AF4"/>
    <w:lvl w:ilvl="0" w:tplc="E9D63A7A">
      <w:numFmt w:val="bullet"/>
      <w:lvlText w:val="—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EC18AC"/>
    <w:rsid w:val="009E3265"/>
    <w:rsid w:val="00B37997"/>
    <w:rsid w:val="00C337EB"/>
    <w:rsid w:val="00EC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265"/>
  </w:style>
  <w:style w:type="paragraph" w:styleId="Heading1">
    <w:name w:val="heading 1"/>
    <w:basedOn w:val="Normal"/>
    <w:next w:val="Normal"/>
    <w:link w:val="Heading1Char"/>
    <w:uiPriority w:val="9"/>
    <w:qFormat/>
    <w:rsid w:val="00EC1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8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18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C1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1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C1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Ferry</cp:lastModifiedBy>
  <cp:revision>2</cp:revision>
  <dcterms:created xsi:type="dcterms:W3CDTF">2021-04-04T18:54:00Z</dcterms:created>
  <dcterms:modified xsi:type="dcterms:W3CDTF">2021-04-04T18:54:00Z</dcterms:modified>
</cp:coreProperties>
</file>